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85"/>
        <w:gridCol w:w="4170"/>
      </w:tblGrid>
      <w:tr w:rsidR="005D5CEE" w:rsidRPr="00E41DEC" w:rsidTr="00F74145">
        <w:tc>
          <w:tcPr>
            <w:tcW w:w="5325" w:type="dxa"/>
            <w:shd w:val="clear" w:color="auto" w:fill="auto"/>
          </w:tcPr>
          <w:p w:rsidR="005D5CEE" w:rsidRPr="00E41DEC" w:rsidRDefault="005D5CEE" w:rsidP="00F74145">
            <w:pPr>
              <w:rPr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4246" w:type="dxa"/>
            <w:shd w:val="clear" w:color="auto" w:fill="auto"/>
          </w:tcPr>
          <w:p w:rsidR="005D5CEE" w:rsidRPr="00E41DEC" w:rsidRDefault="005D5CEE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6</w:t>
            </w:r>
          </w:p>
          <w:p w:rsidR="005D5CEE" w:rsidRPr="00E41DEC" w:rsidRDefault="005D5CEE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5D5CEE" w:rsidRPr="00E41DEC" w:rsidRDefault="005D5CEE" w:rsidP="005D5CEE">
      <w:pPr>
        <w:jc w:val="center"/>
        <w:rPr>
          <w:noProof w:val="0"/>
          <w:sz w:val="26"/>
          <w:szCs w:val="26"/>
          <w:lang w:val="uk-UA"/>
        </w:rPr>
      </w:pPr>
    </w:p>
    <w:p w:rsidR="005D5CEE" w:rsidRPr="00E41DEC" w:rsidRDefault="005D5CEE" w:rsidP="005D5CEE">
      <w:pPr>
        <w:jc w:val="center"/>
        <w:rPr>
          <w:noProof w:val="0"/>
          <w:sz w:val="26"/>
          <w:szCs w:val="26"/>
          <w:lang w:val="uk-UA"/>
        </w:rPr>
      </w:pPr>
    </w:p>
    <w:p w:rsidR="005D5CEE" w:rsidRPr="005D5CEE" w:rsidRDefault="005D5CEE" w:rsidP="005D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noProof w:val="0"/>
          <w:sz w:val="26"/>
          <w:szCs w:val="26"/>
          <w:lang w:val="uk-UA"/>
        </w:rPr>
      </w:pPr>
      <w:r w:rsidRPr="005D5CEE">
        <w:rPr>
          <w:b/>
          <w:noProof w:val="0"/>
          <w:sz w:val="26"/>
          <w:szCs w:val="26"/>
          <w:lang w:val="uk-UA"/>
        </w:rPr>
        <w:t>ЗМІСТ ТЕХНІЧНИХ РЕГЛАМЕНТІВ</w:t>
      </w:r>
      <w:bookmarkStart w:id="0" w:name="90"/>
      <w:bookmarkEnd w:id="0"/>
      <w:r w:rsidRPr="005D5CEE">
        <w:rPr>
          <w:b/>
          <w:noProof w:val="0"/>
          <w:sz w:val="26"/>
          <w:szCs w:val="26"/>
          <w:lang w:val="uk-UA"/>
        </w:rPr>
        <w:t xml:space="preserve"> З ЕКОДИЗАЙНУ</w:t>
      </w:r>
    </w:p>
    <w:p w:rsidR="005D5CEE" w:rsidRPr="00E41DEC" w:rsidRDefault="005D5CEE" w:rsidP="005D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У технічному регламенті</w:t>
      </w:r>
      <w:r w:rsidRPr="00E41DEC">
        <w:rPr>
          <w:sz w:val="26"/>
          <w:szCs w:val="26"/>
        </w:rPr>
        <w:t xml:space="preserve"> з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 xml:space="preserve"> повинні, зокрема, бути вказані: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1) точне визначення типу (типів) продукту (продуктів), на який (які) поширюється дія відповідного технічного регламенту;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2) вимога (вимоги) до </w:t>
      </w:r>
      <w:proofErr w:type="spellStart"/>
      <w:r w:rsidRPr="00E41DEC">
        <w:rPr>
          <w:rStyle w:val="st42"/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 xml:space="preserve"> продукту (продуктів), на який (які) поширюється дія відповідного технічного регламенту, дата (дати) впровадження, поетапні або перехідні заходи чи періоди: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а) у випадку загальних вимог до </w:t>
      </w:r>
      <w:proofErr w:type="spellStart"/>
      <w:r w:rsidRPr="00E41DEC">
        <w:rPr>
          <w:rStyle w:val="st42"/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 xml:space="preserve"> – відповідні етапи життєвого циклу та екологічні аспекти, обрані серед тих, що вказані в пунктах 1.1 і 1.2 частини 1 додатка 1 до Технічного регламенту</w:t>
      </w:r>
      <w:r w:rsidRPr="00E41DEC">
        <w:rPr>
          <w:sz w:val="26"/>
          <w:szCs w:val="26"/>
        </w:rPr>
        <w:t xml:space="preserve"> щодо </w:t>
      </w:r>
      <w:r>
        <w:rPr>
          <w:sz w:val="26"/>
          <w:szCs w:val="26"/>
        </w:rPr>
        <w:t>встановлення</w:t>
      </w:r>
      <w:r w:rsidRPr="00E41DEC">
        <w:rPr>
          <w:sz w:val="26"/>
          <w:szCs w:val="26"/>
        </w:rPr>
        <w:t xml:space="preserve"> </w:t>
      </w:r>
      <w:r w:rsidR="00A53E76">
        <w:rPr>
          <w:sz w:val="26"/>
          <w:szCs w:val="26"/>
        </w:rPr>
        <w:t xml:space="preserve">системи для визначення </w:t>
      </w:r>
      <w:r w:rsidRPr="00E41DEC">
        <w:rPr>
          <w:sz w:val="26"/>
          <w:szCs w:val="26"/>
        </w:rPr>
        <w:t xml:space="preserve">вимог </w:t>
      </w:r>
      <w:r>
        <w:rPr>
          <w:sz w:val="26"/>
          <w:szCs w:val="26"/>
        </w:rPr>
        <w:t>з</w:t>
      </w:r>
      <w:r w:rsidRPr="00E41DEC">
        <w:rPr>
          <w:sz w:val="26"/>
          <w:szCs w:val="26"/>
        </w:rPr>
        <w:t xml:space="preserve">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енергоспоживчих</w:t>
      </w:r>
      <w:proofErr w:type="spellEnd"/>
      <w:r>
        <w:rPr>
          <w:sz w:val="26"/>
          <w:szCs w:val="26"/>
        </w:rPr>
        <w:t xml:space="preserve"> продуктів</w:t>
      </w:r>
      <w:r w:rsidRPr="00E41DEC">
        <w:rPr>
          <w:rStyle w:val="st42"/>
          <w:sz w:val="26"/>
          <w:szCs w:val="26"/>
        </w:rPr>
        <w:t xml:space="preserve">, які супроводжуються прикладами параметрів </w:t>
      </w:r>
      <w:proofErr w:type="spellStart"/>
      <w:r w:rsidRPr="00E41DEC">
        <w:rPr>
          <w:rStyle w:val="st42"/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>, обраних серед тих, що вказані в пункті 1.3 частини 1 додатка 1 до Технічного регламенту</w:t>
      </w:r>
      <w:r w:rsidRPr="00E41DEC">
        <w:rPr>
          <w:sz w:val="26"/>
          <w:szCs w:val="26"/>
        </w:rPr>
        <w:t xml:space="preserve"> щодо </w:t>
      </w:r>
      <w:r>
        <w:rPr>
          <w:sz w:val="26"/>
          <w:szCs w:val="26"/>
        </w:rPr>
        <w:t>встановлення</w:t>
      </w:r>
      <w:r w:rsidR="00A53E76">
        <w:rPr>
          <w:sz w:val="26"/>
          <w:szCs w:val="26"/>
        </w:rPr>
        <w:t xml:space="preserve"> системи для визначення</w:t>
      </w:r>
      <w:r w:rsidRPr="00E41DEC">
        <w:rPr>
          <w:sz w:val="26"/>
          <w:szCs w:val="26"/>
        </w:rPr>
        <w:t xml:space="preserve"> вимог </w:t>
      </w:r>
      <w:r>
        <w:rPr>
          <w:sz w:val="26"/>
          <w:szCs w:val="26"/>
        </w:rPr>
        <w:t>з</w:t>
      </w:r>
      <w:r w:rsidRPr="00E41DEC">
        <w:rPr>
          <w:sz w:val="26"/>
          <w:szCs w:val="26"/>
        </w:rPr>
        <w:t xml:space="preserve">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енергоспоживчих</w:t>
      </w:r>
      <w:proofErr w:type="spellEnd"/>
      <w:r>
        <w:rPr>
          <w:sz w:val="26"/>
          <w:szCs w:val="26"/>
        </w:rPr>
        <w:t xml:space="preserve"> продуктів</w:t>
      </w:r>
      <w:r w:rsidRPr="00E41DEC">
        <w:rPr>
          <w:rStyle w:val="st42"/>
          <w:sz w:val="26"/>
          <w:szCs w:val="26"/>
        </w:rPr>
        <w:t>, в якості керівництва при оцінюванні поліпшень стосовно визначених екологічних аспектів;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б) </w:t>
      </w:r>
      <w:r>
        <w:rPr>
          <w:rStyle w:val="st42"/>
          <w:sz w:val="26"/>
          <w:szCs w:val="26"/>
        </w:rPr>
        <w:t xml:space="preserve">у випадку </w:t>
      </w:r>
      <w:r w:rsidR="00A53E76">
        <w:rPr>
          <w:rStyle w:val="st42"/>
          <w:sz w:val="26"/>
          <w:szCs w:val="26"/>
        </w:rPr>
        <w:t>спеціальних</w:t>
      </w:r>
      <w:r w:rsidRPr="00E41DEC">
        <w:rPr>
          <w:rStyle w:val="st42"/>
          <w:sz w:val="26"/>
          <w:szCs w:val="26"/>
        </w:rPr>
        <w:t xml:space="preserve"> </w:t>
      </w:r>
      <w:r>
        <w:rPr>
          <w:rStyle w:val="st42"/>
          <w:sz w:val="26"/>
          <w:szCs w:val="26"/>
        </w:rPr>
        <w:t xml:space="preserve">вимог до </w:t>
      </w:r>
      <w:proofErr w:type="spellStart"/>
      <w:r>
        <w:rPr>
          <w:rStyle w:val="st42"/>
          <w:sz w:val="26"/>
          <w:szCs w:val="26"/>
        </w:rPr>
        <w:t>екодизайну</w:t>
      </w:r>
      <w:proofErr w:type="spellEnd"/>
      <w:r>
        <w:rPr>
          <w:rStyle w:val="st42"/>
          <w:sz w:val="26"/>
          <w:szCs w:val="26"/>
        </w:rPr>
        <w:t xml:space="preserve"> – </w:t>
      </w:r>
      <w:r w:rsidRPr="00E41DEC">
        <w:rPr>
          <w:rStyle w:val="st42"/>
          <w:sz w:val="26"/>
          <w:szCs w:val="26"/>
        </w:rPr>
        <w:t xml:space="preserve">їх </w:t>
      </w:r>
      <w:r>
        <w:rPr>
          <w:rStyle w:val="st42"/>
          <w:sz w:val="26"/>
          <w:szCs w:val="26"/>
        </w:rPr>
        <w:t>рівні</w:t>
      </w:r>
      <w:r w:rsidRPr="00E41DEC">
        <w:rPr>
          <w:rStyle w:val="st42"/>
          <w:sz w:val="26"/>
          <w:szCs w:val="26"/>
        </w:rPr>
        <w:t>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3) параметри </w:t>
      </w:r>
      <w:proofErr w:type="spellStart"/>
      <w:r w:rsidRPr="00E41DEC">
        <w:rPr>
          <w:rStyle w:val="st42"/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>,</w:t>
      </w:r>
      <w:r w:rsidRPr="00E41DEC">
        <w:rPr>
          <w:sz w:val="26"/>
          <w:szCs w:val="26"/>
        </w:rPr>
        <w:t xml:space="preserve"> які зазначені в частині 1 додатка 1</w:t>
      </w:r>
      <w:r>
        <w:rPr>
          <w:sz w:val="26"/>
          <w:szCs w:val="26"/>
        </w:rPr>
        <w:t xml:space="preserve"> до Технічного регламенту щодо встановлення</w:t>
      </w:r>
      <w:r w:rsidRPr="00E41DEC">
        <w:rPr>
          <w:sz w:val="26"/>
          <w:szCs w:val="26"/>
        </w:rPr>
        <w:t xml:space="preserve"> </w:t>
      </w:r>
      <w:r w:rsidR="00A53E76">
        <w:rPr>
          <w:sz w:val="26"/>
          <w:szCs w:val="26"/>
        </w:rPr>
        <w:t xml:space="preserve">системи для визначення </w:t>
      </w:r>
      <w:bookmarkStart w:id="1" w:name="_GoBack"/>
      <w:bookmarkEnd w:id="1"/>
      <w:r w:rsidRPr="00E41DEC">
        <w:rPr>
          <w:sz w:val="26"/>
          <w:szCs w:val="26"/>
        </w:rPr>
        <w:t xml:space="preserve">вимог </w:t>
      </w:r>
      <w:r>
        <w:rPr>
          <w:sz w:val="26"/>
          <w:szCs w:val="26"/>
        </w:rPr>
        <w:t>з</w:t>
      </w:r>
      <w:r w:rsidRPr="00E41DEC">
        <w:rPr>
          <w:sz w:val="26"/>
          <w:szCs w:val="26"/>
        </w:rPr>
        <w:t xml:space="preserve">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енергоспоживчих</w:t>
      </w:r>
      <w:proofErr w:type="spellEnd"/>
      <w:r>
        <w:rPr>
          <w:sz w:val="26"/>
          <w:szCs w:val="26"/>
        </w:rPr>
        <w:t xml:space="preserve"> продуктів</w:t>
      </w:r>
      <w:r w:rsidRPr="00E41DEC">
        <w:rPr>
          <w:sz w:val="26"/>
          <w:szCs w:val="26"/>
        </w:rPr>
        <w:t xml:space="preserve">, і стосовно яких жодні вимоги до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sz w:val="26"/>
          <w:szCs w:val="26"/>
        </w:rPr>
        <w:t xml:space="preserve"> не є </w:t>
      </w:r>
      <w:r>
        <w:rPr>
          <w:sz w:val="26"/>
          <w:szCs w:val="26"/>
        </w:rPr>
        <w:t>обов’язковими</w:t>
      </w:r>
      <w:r w:rsidRPr="00E41DEC">
        <w:rPr>
          <w:sz w:val="26"/>
          <w:szCs w:val="26"/>
        </w:rPr>
        <w:t>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4) вимоги до </w:t>
      </w:r>
      <w:r w:rsidRPr="00AB0539">
        <w:rPr>
          <w:rStyle w:val="st42"/>
          <w:sz w:val="26"/>
          <w:szCs w:val="26"/>
        </w:rPr>
        <w:t>монтажу</w:t>
      </w:r>
      <w:r w:rsidRPr="00E41DEC">
        <w:rPr>
          <w:rStyle w:val="st42"/>
          <w:sz w:val="26"/>
          <w:szCs w:val="26"/>
        </w:rPr>
        <w:t xml:space="preserve"> продукту, якщо це має прямий стосунок до екологічних характеристик продукту, що розглядаються;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5) стандарти вимірювань та/або методи вимірювань, які будуть використовуватися; за наявності</w:t>
      </w:r>
      <w:r>
        <w:rPr>
          <w:rStyle w:val="st42"/>
          <w:sz w:val="26"/>
          <w:szCs w:val="26"/>
        </w:rPr>
        <w:t>,</w:t>
      </w:r>
      <w:r w:rsidRPr="00E41DEC">
        <w:rPr>
          <w:rStyle w:val="st42"/>
          <w:sz w:val="26"/>
          <w:szCs w:val="26"/>
        </w:rPr>
        <w:t xml:space="preserve"> повинні використовуватися національні стандарти, що є ідентичними гармонізованим європейським стандартам;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6) детальні відомості щодо оцінки відповідності згідно з постановою Кабінету Міністрів України від 13 січня 2016 р. № 95 “Про затвердження модулів оцінки відповідності, які використовуються для розроблення процедур оцінки відповідності, та правил використання модулів оцінки відповідності” (Офіційний </w:t>
      </w:r>
      <w:r w:rsidRPr="00E41DEC">
        <w:rPr>
          <w:rStyle w:val="st42"/>
          <w:sz w:val="26"/>
          <w:szCs w:val="26"/>
        </w:rPr>
        <w:lastRenderedPageBreak/>
        <w:t>вісник України, 2016 р., № 16, ст. 625):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а) якщо модуль (модулі) оцінки відповідності, який повинен застосовуватися, є відмінним від модуля А, – чинники, що призводять до вибору цієї конкретної процедури;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б) у відповідних випадках – критерії затвердження та/або сертифікації третіх сторін.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 xml:space="preserve">У разі коли в інших технічних регламентах, </w:t>
      </w:r>
      <w:r w:rsidRPr="00E41DEC">
        <w:rPr>
          <w:sz w:val="26"/>
          <w:szCs w:val="26"/>
        </w:rPr>
        <w:t xml:space="preserve">якими передбачене нанесення </w:t>
      </w:r>
      <w:proofErr w:type="spellStart"/>
      <w:r w:rsidRPr="00E41DEC">
        <w:rPr>
          <w:sz w:val="26"/>
          <w:szCs w:val="26"/>
        </w:rPr>
        <w:t>знака</w:t>
      </w:r>
      <w:proofErr w:type="spellEnd"/>
      <w:r w:rsidRPr="00E41DEC">
        <w:rPr>
          <w:sz w:val="26"/>
          <w:szCs w:val="26"/>
        </w:rPr>
        <w:t xml:space="preserve"> відповідності технічним регламентам</w:t>
      </w:r>
      <w:r w:rsidRPr="00E41DEC">
        <w:rPr>
          <w:rStyle w:val="st42"/>
          <w:sz w:val="26"/>
          <w:szCs w:val="26"/>
        </w:rPr>
        <w:t xml:space="preserve">, установлені інші модулі оцінки відповідності для такого самого продукту, то для відповідної вимоги до </w:t>
      </w:r>
      <w:proofErr w:type="spellStart"/>
      <w:r w:rsidRPr="00E41DEC">
        <w:rPr>
          <w:rStyle w:val="st42"/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 xml:space="preserve"> переважну силу має модуль, визначений у технічному регламенті</w:t>
      </w:r>
      <w:r w:rsidRPr="00E41DEC">
        <w:rPr>
          <w:sz w:val="26"/>
          <w:szCs w:val="26"/>
        </w:rPr>
        <w:t xml:space="preserve"> з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>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7) вимоги щодо інформації, яка повинна надаватися виробниками, зокрема щодо елементів технічної документації, що є необхідними для полегшення перевірки відповідності продукту технічному регламенту</w:t>
      </w:r>
      <w:r w:rsidRPr="00E41DEC">
        <w:rPr>
          <w:sz w:val="26"/>
          <w:szCs w:val="26"/>
        </w:rPr>
        <w:t xml:space="preserve"> з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>;</w:t>
      </w:r>
    </w:p>
    <w:p w:rsidR="005D5CEE" w:rsidRPr="00E41DEC" w:rsidRDefault="005D5CEE" w:rsidP="005D5CEE">
      <w:pPr>
        <w:pStyle w:val="st12"/>
        <w:tabs>
          <w:tab w:val="left" w:pos="-1843"/>
        </w:tabs>
        <w:spacing w:before="0" w:after="0" w:line="360" w:lineRule="auto"/>
        <w:ind w:firstLine="709"/>
        <w:jc w:val="both"/>
        <w:rPr>
          <w:rStyle w:val="st42"/>
          <w:sz w:val="26"/>
          <w:szCs w:val="26"/>
        </w:rPr>
      </w:pPr>
      <w:r w:rsidRPr="00E41DEC">
        <w:rPr>
          <w:rStyle w:val="st42"/>
          <w:sz w:val="26"/>
          <w:szCs w:val="26"/>
        </w:rPr>
        <w:t>8) тривалість перехідного періоду, протягом якого дозволяється введення в обіг та/або в експлуатацію продуктів, які відповідають вимогам нормативно-правових актів, чинних на день прийняття технічного регламенту</w:t>
      </w:r>
      <w:r w:rsidRPr="00E41DEC">
        <w:rPr>
          <w:sz w:val="26"/>
          <w:szCs w:val="26"/>
        </w:rPr>
        <w:t xml:space="preserve"> з </w:t>
      </w:r>
      <w:proofErr w:type="spellStart"/>
      <w:r w:rsidRPr="00E41DEC">
        <w:rPr>
          <w:sz w:val="26"/>
          <w:szCs w:val="26"/>
        </w:rPr>
        <w:t>екодизайну</w:t>
      </w:r>
      <w:proofErr w:type="spellEnd"/>
      <w:r w:rsidRPr="00E41DEC">
        <w:rPr>
          <w:rStyle w:val="st42"/>
          <w:sz w:val="26"/>
          <w:szCs w:val="26"/>
        </w:rPr>
        <w:t>.</w:t>
      </w:r>
    </w:p>
    <w:p w:rsidR="005D5CEE" w:rsidRPr="00E41DEC" w:rsidRDefault="005D5CEE" w:rsidP="005D5CEE">
      <w:pPr>
        <w:pStyle w:val="st2"/>
        <w:tabs>
          <w:tab w:val="left" w:pos="-1843"/>
        </w:tabs>
        <w:spacing w:after="0"/>
        <w:ind w:right="51" w:firstLine="0"/>
        <w:jc w:val="center"/>
        <w:rPr>
          <w:rStyle w:val="st42"/>
          <w:sz w:val="26"/>
          <w:szCs w:val="26"/>
        </w:rPr>
      </w:pPr>
    </w:p>
    <w:p w:rsidR="005D5CEE" w:rsidRPr="00E41DEC" w:rsidRDefault="005D5CEE" w:rsidP="005D5CEE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rFonts w:ascii="Times New Roman" w:hAnsi="Times New Roman" w:cs="Times New Roman"/>
          <w:noProof w:val="0"/>
          <w:sz w:val="26"/>
          <w:szCs w:val="26"/>
          <w:lang w:val="uk-UA"/>
        </w:rPr>
        <w:t>___________________________</w:t>
      </w:r>
    </w:p>
    <w:p w:rsidR="005D5CEE" w:rsidRPr="00E41DEC" w:rsidRDefault="005D5CEE" w:rsidP="005D5CEE">
      <w:pPr>
        <w:pStyle w:val="a5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p w:rsidR="00BF2232" w:rsidRDefault="00BF2232"/>
    <w:sectPr w:rsidR="00BF2232" w:rsidSect="00C9035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E89" w:rsidRDefault="006A7E89" w:rsidP="00C9035F">
      <w:r>
        <w:separator/>
      </w:r>
    </w:p>
  </w:endnote>
  <w:endnote w:type="continuationSeparator" w:id="0">
    <w:p w:rsidR="006A7E89" w:rsidRDefault="006A7E89" w:rsidP="00C9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E89" w:rsidRDefault="006A7E89" w:rsidP="00C9035F">
      <w:r>
        <w:separator/>
      </w:r>
    </w:p>
  </w:footnote>
  <w:footnote w:type="continuationSeparator" w:id="0">
    <w:p w:rsidR="006A7E89" w:rsidRDefault="006A7E89" w:rsidP="00C90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9888754"/>
      <w:docPartObj>
        <w:docPartGallery w:val="Page Numbers (Top of Page)"/>
        <w:docPartUnique/>
      </w:docPartObj>
    </w:sdtPr>
    <w:sdtEndPr/>
    <w:sdtContent>
      <w:p w:rsidR="00C9035F" w:rsidRDefault="00C9035F" w:rsidP="00C903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E76" w:rsidRPr="00A53E76">
          <w:rPr>
            <w:lang w:val="ru-RU"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Продовження додатку 6</w:t>
        </w:r>
      </w:p>
    </w:sdtContent>
  </w:sdt>
  <w:p w:rsidR="00C9035F" w:rsidRDefault="00C903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18"/>
    <w:rsid w:val="005D5CEE"/>
    <w:rsid w:val="006A7E89"/>
    <w:rsid w:val="009733C3"/>
    <w:rsid w:val="009A0D18"/>
    <w:rsid w:val="00A53E76"/>
    <w:rsid w:val="00AB0539"/>
    <w:rsid w:val="00BF2232"/>
    <w:rsid w:val="00C46C86"/>
    <w:rsid w:val="00C9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5F1D3"/>
  <w15:chartTrackingRefBased/>
  <w15:docId w15:val="{5FF37F77-BF96-491A-AE52-5568B1D1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CE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D5CE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D5CEE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st2">
    <w:name w:val="st2"/>
    <w:rsid w:val="005D5CEE"/>
    <w:pPr>
      <w:widowControl w:val="0"/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st12">
    <w:name w:val="st12"/>
    <w:rsid w:val="005D5CEE"/>
    <w:pPr>
      <w:widowControl w:val="0"/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t42">
    <w:name w:val="st42"/>
    <w:rsid w:val="005D5CEE"/>
    <w:rPr>
      <w:color w:val="000000"/>
    </w:rPr>
  </w:style>
  <w:style w:type="paragraph" w:customStyle="1" w:styleId="a5">
    <w:name w:val="Підпис"/>
    <w:basedOn w:val="a"/>
    <w:rsid w:val="005D5CEE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C9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035F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8">
    <w:name w:val="footer"/>
    <w:basedOn w:val="a"/>
    <w:link w:val="a9"/>
    <w:uiPriority w:val="99"/>
    <w:unhideWhenUsed/>
    <w:rsid w:val="00C9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035F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2577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2017-05-31T08:45:00Z</dcterms:created>
  <dcterms:modified xsi:type="dcterms:W3CDTF">2017-07-14T12:42:00Z</dcterms:modified>
</cp:coreProperties>
</file>